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w:t>
            </w:r>
            <w:proofErr w:type="gramStart"/>
            <w:r>
              <w:rPr>
                <w:i/>
                <w:sz w:val="22"/>
                <w:szCs w:val="22"/>
                <w:lang w:val="en-US"/>
              </w:rPr>
              <w:t>“ veiklos</w:t>
            </w:r>
            <w:proofErr w:type="gramEnd"/>
            <w:r>
              <w:rPr>
                <w:i/>
                <w:sz w:val="22"/>
                <w:szCs w:val="22"/>
                <w:lang w:val="en-US"/>
              </w:rPr>
              <w:t xml:space="preserve">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Ataskaitiniai arba praėję 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w:t>
            </w:r>
            <w:r w:rsidR="00965C4A">
              <w:rPr>
                <w:i/>
                <w:sz w:val="22"/>
                <w:szCs w:val="22"/>
                <w:lang w:val="en-US"/>
              </w:rPr>
              <w:t>.</w:t>
            </w:r>
            <w:r>
              <w:rPr>
                <w:i/>
                <w:sz w:val="22"/>
                <w:szCs w:val="22"/>
                <w:lang w:val="en-US"/>
              </w:rPr>
              <w:t xml:space="preserve"> </w:t>
            </w:r>
            <w:r w:rsidR="00965C4A" w:rsidRPr="00965C4A">
              <w:rPr>
                <w:b/>
                <w:i/>
                <w:sz w:val="22"/>
                <w:szCs w:val="22"/>
                <w:lang w:val="en-US"/>
              </w:rPr>
              <w:t xml:space="preserve">Verslo plėtros </w:t>
            </w:r>
            <w:r w:rsidR="00965C4A" w:rsidRPr="00965C4A">
              <w:rPr>
                <w:i/>
                <w:sz w:val="22"/>
                <w:szCs w:val="22"/>
                <w:lang w:val="en-US"/>
              </w:rPr>
              <w:t>atveju ataskaitiniais arba vienais metais iš dvejų eilės tvarka einančių praėjusių ataskaitinių metų (pasirinktinai) skaičiuojami grynojo pelningumo ir skolos rodikliai; abu rodikliai turi būti skaičiuoja</w:t>
            </w:r>
            <w:r w:rsidR="00965C4A">
              <w:rPr>
                <w:i/>
                <w:sz w:val="22"/>
                <w:szCs w:val="22"/>
                <w:lang w:val="en-US"/>
              </w:rPr>
              <w:t>mi pagal tų pačių metų duomenis; v</w:t>
            </w:r>
            <w:r w:rsidR="00965C4A" w:rsidRPr="00965C4A">
              <w:rPr>
                <w:i/>
                <w:sz w:val="22"/>
                <w:szCs w:val="22"/>
                <w:lang w:val="en-US"/>
              </w:rPr>
              <w:t xml:space="preserve">ietos projekto įgyvendinimo laikotarpiu skaičiuojamas paskolų padengimo rodiklis, o vietos projekto kontrolės laikotarpiu skaičiuojami grynojo pelningumo, skolos, paskolų padengimo ir einamojo likvidumo koeficiento rodikliai. </w:t>
            </w:r>
            <w:r w:rsidR="00965C4A" w:rsidRPr="00965C4A">
              <w:rPr>
                <w:b/>
                <w:i/>
                <w:sz w:val="22"/>
                <w:szCs w:val="22"/>
                <w:lang w:val="en-US"/>
              </w:rPr>
              <w:t>Verslo pradžios</w:t>
            </w:r>
            <w:r w:rsidR="00965C4A" w:rsidRPr="00965C4A">
              <w:rPr>
                <w:i/>
                <w:sz w:val="22"/>
                <w:szCs w:val="22"/>
                <w:lang w:val="en-US"/>
              </w:rPr>
              <w:t xml:space="preserve"> atveju vietos projekto kontrolės laikotarpiu skaičiuojami skolos, grynojo pelningumo, paskolų padengimo ir einamojo likvidumo koeficiento rodikliai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965C4A" w:rsidP="004F5C3B">
            <w:pPr>
              <w:tabs>
                <w:tab w:val="left" w:pos="3555"/>
              </w:tabs>
              <w:jc w:val="center"/>
              <w:rPr>
                <w:b/>
                <w:sz w:val="22"/>
                <w:szCs w:val="22"/>
                <w:lang w:val="en-US"/>
              </w:rPr>
            </w:pPr>
            <w:r>
              <w:rPr>
                <w:b/>
                <w:sz w:val="22"/>
                <w:szCs w:val="22"/>
                <w:lang w:val="en-US"/>
              </w:rPr>
              <w:t>Ataskaitiniai arba vieni</w:t>
            </w:r>
            <w:r w:rsidRPr="00965C4A">
              <w:rPr>
                <w:b/>
                <w:sz w:val="22"/>
                <w:szCs w:val="22"/>
                <w:lang w:val="en-US"/>
              </w:rPr>
              <w:t xml:space="preserve"> iš dvejų eilės tvarka einančių praėjusių ataskaitinių metų</w:t>
            </w:r>
            <w:r w:rsidR="005F1E8E">
              <w:rPr>
                <w:b/>
                <w:sz w:val="22"/>
                <w:szCs w:val="22"/>
                <w:lang w:val="en-US"/>
              </w:rPr>
              <w:t xml:space="preserve">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965C4A"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jc w:val="center"/>
              <w:rPr>
                <w:b/>
                <w:bCs/>
                <w:sz w:val="22"/>
                <w:szCs w:val="22"/>
                <w:lang w:val="ru-RU"/>
              </w:rPr>
            </w:pPr>
            <w:r>
              <w:rPr>
                <w:b/>
                <w:bCs/>
                <w:sz w:val="22"/>
                <w:szCs w:val="22"/>
                <w:lang w:val="ru-RU"/>
              </w:rPr>
              <w:t>7.4.</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rPr>
                <w:b/>
                <w:bCs/>
                <w:sz w:val="22"/>
                <w:szCs w:val="22"/>
                <w:lang w:val="en-US"/>
              </w:rPr>
            </w:pPr>
            <w:r w:rsidRPr="00965C4A">
              <w:rPr>
                <w:b/>
                <w:bCs/>
                <w:sz w:val="22"/>
                <w:szCs w:val="22"/>
                <w:lang w:val="en-US"/>
              </w:rPr>
              <w:t>Einamojo likvidumo koeficientas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965C4A" w:rsidRDefault="00965C4A"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57" w:rsidRDefault="00B00D57">
      <w:pPr>
        <w:overflowPunct w:val="0"/>
        <w:jc w:val="both"/>
        <w:textAlignment w:val="baseline"/>
      </w:pPr>
      <w:r>
        <w:separator/>
      </w:r>
    </w:p>
  </w:endnote>
  <w:endnote w:type="continuationSeparator" w:id="0">
    <w:p w:rsidR="00B00D57" w:rsidRDefault="00B00D5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Pr="009A0A2B" w:rsidRDefault="00AD70DD" w:rsidP="00965C4A">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57" w:rsidRDefault="00B00D57">
      <w:pPr>
        <w:overflowPunct w:val="0"/>
        <w:jc w:val="both"/>
        <w:textAlignment w:val="baseline"/>
      </w:pPr>
      <w:r>
        <w:separator/>
      </w:r>
    </w:p>
  </w:footnote>
  <w:footnote w:type="continuationSeparator" w:id="0">
    <w:p w:rsidR="00B00D57" w:rsidRDefault="00B00D57">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1F2177">
          <w:rPr>
            <w:noProof/>
          </w:rPr>
          <w:t>1</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1F2177">
          <w:rPr>
            <w:noProof/>
          </w:rPr>
          <w:t>2</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836FA"/>
    <w:rsid w:val="001B4744"/>
    <w:rsid w:val="001D1372"/>
    <w:rsid w:val="001D6584"/>
    <w:rsid w:val="001F2177"/>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67B2F"/>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65C4A"/>
    <w:rsid w:val="009A0A2B"/>
    <w:rsid w:val="009A66A6"/>
    <w:rsid w:val="00A2046E"/>
    <w:rsid w:val="00A246E6"/>
    <w:rsid w:val="00A70AE1"/>
    <w:rsid w:val="00AA10AA"/>
    <w:rsid w:val="00AA111C"/>
    <w:rsid w:val="00AD70DD"/>
    <w:rsid w:val="00AF7181"/>
    <w:rsid w:val="00B00D57"/>
    <w:rsid w:val="00B36DBC"/>
    <w:rsid w:val="00B37F1C"/>
    <w:rsid w:val="00B73563"/>
    <w:rsid w:val="00BF0AE2"/>
    <w:rsid w:val="00BF1F90"/>
    <w:rsid w:val="00C27980"/>
    <w:rsid w:val="00C418B1"/>
    <w:rsid w:val="00CA1F5C"/>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BAAD-C85D-4BD8-854D-E827ED5F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20140</Words>
  <Characters>11481</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2023-06-08T07:44:00Z</dcterms:created>
  <dcterms:modified xsi:type="dcterms:W3CDTF">2023-06-08T07:44:00Z</dcterms:modified>
</cp:coreProperties>
</file>